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0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0"/>
        <w:gridCol w:w="3726"/>
        <w:gridCol w:w="1335"/>
        <w:gridCol w:w="1079"/>
        <w:gridCol w:w="4887"/>
      </w:tblGrid>
      <w:tr w:rsidR="004E143C" w14:paraId="545FB4A0" w14:textId="77777777" w:rsidTr="004E143C">
        <w:trPr>
          <w:trHeight w:val="913"/>
          <w:tblHeader/>
        </w:trPr>
        <w:tc>
          <w:tcPr>
            <w:tcW w:w="3710" w:type="dxa"/>
          </w:tcPr>
          <w:p w14:paraId="6DC07D5A" w14:textId="77777777" w:rsidR="004E143C" w:rsidRPr="00B81D5D" w:rsidRDefault="004E143C" w:rsidP="004E143C">
            <w:pPr>
              <w:jc w:val="center"/>
              <w:rPr>
                <w:rFonts w:ascii="Comic Sans MS" w:eastAsia="Comic Sans MS" w:hAnsi="Comic Sans MS" w:cs="Comic Sans MS"/>
                <w:sz w:val="22"/>
                <w:szCs w:val="22"/>
              </w:rPr>
            </w:pPr>
            <w:r w:rsidRPr="00B81D5D">
              <w:rPr>
                <w:rFonts w:ascii="Comic Sans MS" w:eastAsia="Comic Sans MS" w:hAnsi="Comic Sans MS" w:cs="Comic Sans MS"/>
                <w:sz w:val="22"/>
                <w:szCs w:val="22"/>
              </w:rPr>
              <w:t>Intention</w:t>
            </w:r>
          </w:p>
        </w:tc>
        <w:tc>
          <w:tcPr>
            <w:tcW w:w="3726" w:type="dxa"/>
          </w:tcPr>
          <w:p w14:paraId="0C95DF9B" w14:textId="77777777" w:rsidR="004E143C" w:rsidRPr="00B81D5D" w:rsidRDefault="004E143C" w:rsidP="004E143C">
            <w:pPr>
              <w:ind w:left="720"/>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Pr="00B81D5D">
              <w:rPr>
                <w:rFonts w:ascii="Comic Sans MS" w:eastAsia="Comic Sans MS" w:hAnsi="Comic Sans MS" w:cs="Comic Sans MS"/>
                <w:sz w:val="22"/>
                <w:szCs w:val="22"/>
              </w:rPr>
              <w:t>Implementation</w:t>
            </w:r>
          </w:p>
        </w:tc>
        <w:tc>
          <w:tcPr>
            <w:tcW w:w="1335" w:type="dxa"/>
          </w:tcPr>
          <w:p w14:paraId="6CB0052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Who’s </w:t>
            </w:r>
          </w:p>
          <w:p w14:paraId="37C2FD84"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Responsible?</w:t>
            </w:r>
          </w:p>
        </w:tc>
        <w:tc>
          <w:tcPr>
            <w:tcW w:w="1079" w:type="dxa"/>
          </w:tcPr>
          <w:p w14:paraId="4E84821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Dates</w:t>
            </w:r>
          </w:p>
          <w:p w14:paraId="4C7FEE6B"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from and </w:t>
            </w:r>
          </w:p>
          <w:p w14:paraId="62EA69F1"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to:</w:t>
            </w:r>
          </w:p>
        </w:tc>
        <w:tc>
          <w:tcPr>
            <w:tcW w:w="4887" w:type="dxa"/>
          </w:tcPr>
          <w:p w14:paraId="55EF320B"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Impact</w:t>
            </w:r>
          </w:p>
        </w:tc>
      </w:tr>
      <w:tr w:rsidR="004E143C" w14:paraId="499B47DF" w14:textId="77777777" w:rsidTr="004E143C">
        <w:trPr>
          <w:trHeight w:val="3597"/>
        </w:trPr>
        <w:tc>
          <w:tcPr>
            <w:tcW w:w="3710" w:type="dxa"/>
          </w:tcPr>
          <w:p w14:paraId="53DAAC5A" w14:textId="77777777" w:rsidR="00817011" w:rsidRDefault="00817011" w:rsidP="00532AA6">
            <w:pPr>
              <w:rPr>
                <w:rFonts w:ascii="Comic Sans MS" w:eastAsia="Comic Sans MS" w:hAnsi="Comic Sans MS" w:cs="Comic Sans MS"/>
                <w:sz w:val="18"/>
                <w:szCs w:val="18"/>
              </w:rPr>
            </w:pPr>
          </w:p>
          <w:p w14:paraId="3D233D81" w14:textId="7DFF642C" w:rsidR="00532AA6" w:rsidRPr="00532AA6" w:rsidRDefault="00532AA6" w:rsidP="00532AA6">
            <w:pPr>
              <w:pStyle w:val="ListParagraph"/>
              <w:numPr>
                <w:ilvl w:val="0"/>
                <w:numId w:val="10"/>
              </w:numPr>
              <w:rPr>
                <w:rFonts w:ascii="Comic Sans MS" w:eastAsia="Comic Sans MS" w:hAnsi="Comic Sans MS" w:cs="Comic Sans MS"/>
                <w:sz w:val="18"/>
                <w:szCs w:val="18"/>
              </w:rPr>
            </w:pPr>
            <w:r>
              <w:rPr>
                <w:rFonts w:ascii="Comic Sans MS" w:eastAsia="Comic Sans MS" w:hAnsi="Comic Sans MS" w:cs="Comic Sans MS"/>
                <w:sz w:val="18"/>
                <w:szCs w:val="18"/>
              </w:rPr>
              <w:t xml:space="preserve">To develop the sensory curriculum and to ensure that all staff have knowledge and access to any specialist training which will support progression of learning within the PLMD </w:t>
            </w:r>
            <w:proofErr w:type="gramStart"/>
            <w:r>
              <w:rPr>
                <w:rFonts w:ascii="Comic Sans MS" w:eastAsia="Comic Sans MS" w:hAnsi="Comic Sans MS" w:cs="Comic Sans MS"/>
                <w:sz w:val="18"/>
                <w:szCs w:val="18"/>
              </w:rPr>
              <w:t>classes</w:t>
            </w:r>
            <w:proofErr w:type="gramEnd"/>
          </w:p>
          <w:p w14:paraId="622CD04F" w14:textId="77777777" w:rsidR="00817011" w:rsidRDefault="00817011" w:rsidP="00C931CB">
            <w:pPr>
              <w:pStyle w:val="ListParagraph"/>
              <w:rPr>
                <w:rFonts w:ascii="Comic Sans MS" w:eastAsia="Comic Sans MS" w:hAnsi="Comic Sans MS" w:cs="Comic Sans MS"/>
                <w:sz w:val="18"/>
                <w:szCs w:val="18"/>
              </w:rPr>
            </w:pPr>
          </w:p>
          <w:p w14:paraId="7C03913E" w14:textId="77777777" w:rsidR="00C931CB" w:rsidRDefault="00C931CB" w:rsidP="00C931CB">
            <w:pPr>
              <w:pStyle w:val="ListParagraph"/>
              <w:rPr>
                <w:rFonts w:ascii="Comic Sans MS" w:eastAsia="Comic Sans MS" w:hAnsi="Comic Sans MS" w:cs="Comic Sans MS"/>
                <w:sz w:val="18"/>
                <w:szCs w:val="18"/>
              </w:rPr>
            </w:pPr>
          </w:p>
          <w:p w14:paraId="72EED71B" w14:textId="77777777" w:rsidR="00C931CB" w:rsidRDefault="00C931CB" w:rsidP="00C931CB">
            <w:pPr>
              <w:pStyle w:val="ListParagraph"/>
              <w:rPr>
                <w:rFonts w:ascii="Comic Sans MS" w:eastAsia="Comic Sans MS" w:hAnsi="Comic Sans MS" w:cs="Comic Sans MS"/>
                <w:sz w:val="18"/>
                <w:szCs w:val="18"/>
              </w:rPr>
            </w:pPr>
          </w:p>
          <w:p w14:paraId="70B62D86" w14:textId="77777777" w:rsidR="00C931CB" w:rsidRDefault="00C931CB" w:rsidP="00C931CB">
            <w:pPr>
              <w:pStyle w:val="ListParagraph"/>
              <w:rPr>
                <w:rFonts w:ascii="Comic Sans MS" w:eastAsia="Comic Sans MS" w:hAnsi="Comic Sans MS" w:cs="Comic Sans MS"/>
                <w:sz w:val="18"/>
                <w:szCs w:val="18"/>
              </w:rPr>
            </w:pPr>
          </w:p>
          <w:p w14:paraId="70256C27" w14:textId="77777777" w:rsidR="00C931CB" w:rsidRDefault="00C931CB" w:rsidP="00C931CB">
            <w:pPr>
              <w:pStyle w:val="ListParagraph"/>
              <w:rPr>
                <w:rFonts w:ascii="Comic Sans MS" w:eastAsia="Comic Sans MS" w:hAnsi="Comic Sans MS" w:cs="Comic Sans MS"/>
                <w:sz w:val="18"/>
                <w:szCs w:val="18"/>
              </w:rPr>
            </w:pPr>
          </w:p>
          <w:p w14:paraId="7F57EFDF" w14:textId="77777777" w:rsidR="00C931CB" w:rsidRDefault="00C931CB" w:rsidP="00C931CB">
            <w:pPr>
              <w:pStyle w:val="ListParagraph"/>
              <w:rPr>
                <w:rFonts w:ascii="Comic Sans MS" w:eastAsia="Comic Sans MS" w:hAnsi="Comic Sans MS" w:cs="Comic Sans MS"/>
                <w:sz w:val="18"/>
                <w:szCs w:val="18"/>
              </w:rPr>
            </w:pPr>
          </w:p>
          <w:p w14:paraId="76A135CA" w14:textId="48FC5EC8" w:rsidR="00C931CB" w:rsidRPr="00817011" w:rsidRDefault="00C931CB" w:rsidP="00C931CB">
            <w:pPr>
              <w:pStyle w:val="ListParagraph"/>
              <w:rPr>
                <w:rFonts w:ascii="Comic Sans MS" w:eastAsia="Comic Sans MS" w:hAnsi="Comic Sans MS" w:cs="Comic Sans MS"/>
                <w:sz w:val="18"/>
                <w:szCs w:val="18"/>
              </w:rPr>
            </w:pPr>
          </w:p>
        </w:tc>
        <w:tc>
          <w:tcPr>
            <w:tcW w:w="3726" w:type="dxa"/>
          </w:tcPr>
          <w:p w14:paraId="21997428" w14:textId="066AF808" w:rsidR="004E143C" w:rsidRDefault="004E143C" w:rsidP="004E143C">
            <w:pPr>
              <w:pStyle w:val="ListParagraph"/>
              <w:numPr>
                <w:ilvl w:val="0"/>
                <w:numId w:val="5"/>
              </w:numPr>
              <w:rPr>
                <w:rFonts w:ascii="Comic Sans MS" w:eastAsia="Comic Sans MS" w:hAnsi="Comic Sans MS" w:cs="Comic Sans MS"/>
                <w:sz w:val="18"/>
                <w:szCs w:val="18"/>
              </w:rPr>
            </w:pPr>
            <w:r w:rsidRPr="00B81D5D">
              <w:rPr>
                <w:rFonts w:ascii="Comic Sans MS" w:eastAsia="Comic Sans MS" w:hAnsi="Comic Sans MS" w:cs="Comic Sans MS"/>
                <w:sz w:val="18"/>
                <w:szCs w:val="18"/>
              </w:rPr>
              <w:t xml:space="preserve">Signpost staff to relevant </w:t>
            </w:r>
            <w:r w:rsidR="00C931CB">
              <w:rPr>
                <w:rFonts w:ascii="Comic Sans MS" w:eastAsia="Comic Sans MS" w:hAnsi="Comic Sans MS" w:cs="Comic Sans MS"/>
                <w:sz w:val="18"/>
                <w:szCs w:val="18"/>
              </w:rPr>
              <w:t xml:space="preserve">resources </w:t>
            </w:r>
          </w:p>
          <w:p w14:paraId="608B872F" w14:textId="77777777" w:rsidR="00C931CB" w:rsidRDefault="00C931CB" w:rsidP="00C931CB">
            <w:pPr>
              <w:pStyle w:val="ListParagraph"/>
              <w:rPr>
                <w:rFonts w:ascii="Comic Sans MS" w:eastAsia="Comic Sans MS" w:hAnsi="Comic Sans MS" w:cs="Comic Sans MS"/>
                <w:sz w:val="18"/>
                <w:szCs w:val="18"/>
              </w:rPr>
            </w:pPr>
          </w:p>
          <w:p w14:paraId="3CC3D163" w14:textId="77777777" w:rsidR="004E143C" w:rsidRDefault="00532AA6" w:rsidP="004E143C">
            <w:pPr>
              <w:pStyle w:val="ListParagraph"/>
              <w:numPr>
                <w:ilvl w:val="0"/>
                <w:numId w:val="7"/>
              </w:numPr>
              <w:rPr>
                <w:rFonts w:ascii="Comic Sans MS" w:eastAsia="Comic Sans MS" w:hAnsi="Comic Sans MS" w:cs="Comic Sans MS"/>
                <w:sz w:val="18"/>
                <w:szCs w:val="18"/>
              </w:rPr>
            </w:pPr>
            <w:r>
              <w:rPr>
                <w:rFonts w:ascii="Comic Sans MS" w:eastAsia="Comic Sans MS" w:hAnsi="Comic Sans MS" w:cs="Comic Sans MS"/>
                <w:sz w:val="18"/>
                <w:szCs w:val="18"/>
              </w:rPr>
              <w:t xml:space="preserve">Team </w:t>
            </w:r>
            <w:proofErr w:type="gramStart"/>
            <w:r>
              <w:rPr>
                <w:rFonts w:ascii="Comic Sans MS" w:eastAsia="Comic Sans MS" w:hAnsi="Comic Sans MS" w:cs="Comic Sans MS"/>
                <w:sz w:val="18"/>
                <w:szCs w:val="18"/>
              </w:rPr>
              <w:t>teach</w:t>
            </w:r>
            <w:proofErr w:type="gramEnd"/>
            <w:r>
              <w:rPr>
                <w:rFonts w:ascii="Comic Sans MS" w:eastAsia="Comic Sans MS" w:hAnsi="Comic Sans MS" w:cs="Comic Sans MS"/>
                <w:sz w:val="18"/>
                <w:szCs w:val="18"/>
              </w:rPr>
              <w:t xml:space="preserve"> alongside programmes from Speech Therapist and OT – staff knowledge to cascade throughout the team</w:t>
            </w:r>
          </w:p>
          <w:p w14:paraId="557A174E" w14:textId="77777777" w:rsidR="00532AA6" w:rsidRDefault="00532AA6" w:rsidP="00532AA6">
            <w:pPr>
              <w:rPr>
                <w:rFonts w:ascii="Comic Sans MS" w:eastAsia="Comic Sans MS" w:hAnsi="Comic Sans MS" w:cs="Comic Sans MS"/>
                <w:sz w:val="18"/>
                <w:szCs w:val="18"/>
              </w:rPr>
            </w:pPr>
          </w:p>
          <w:p w14:paraId="15D513B3" w14:textId="524EF6B3" w:rsidR="00532AA6" w:rsidRPr="00532AA6" w:rsidRDefault="00532AA6" w:rsidP="00532AA6">
            <w:pPr>
              <w:pStyle w:val="ListParagraph"/>
              <w:numPr>
                <w:ilvl w:val="0"/>
                <w:numId w:val="10"/>
              </w:numPr>
              <w:rPr>
                <w:rFonts w:ascii="Comic Sans MS" w:eastAsia="Comic Sans MS" w:hAnsi="Comic Sans MS" w:cs="Comic Sans MS"/>
                <w:sz w:val="18"/>
                <w:szCs w:val="18"/>
              </w:rPr>
            </w:pPr>
            <w:r>
              <w:rPr>
                <w:rFonts w:ascii="Comic Sans MS" w:eastAsia="Comic Sans MS" w:hAnsi="Comic Sans MS" w:cs="Comic Sans MS"/>
                <w:sz w:val="18"/>
                <w:szCs w:val="18"/>
              </w:rPr>
              <w:t xml:space="preserve">Learning Intentions will be SMART enabling progress to be monitored and assessed </w:t>
            </w:r>
          </w:p>
        </w:tc>
        <w:tc>
          <w:tcPr>
            <w:tcW w:w="1335" w:type="dxa"/>
          </w:tcPr>
          <w:p w14:paraId="2A6166FC" w14:textId="77777777" w:rsidR="004E143C" w:rsidRDefault="004E143C" w:rsidP="004E143C">
            <w:pPr>
              <w:rPr>
                <w:rFonts w:ascii="Comic Sans MS" w:eastAsia="Comic Sans MS" w:hAnsi="Comic Sans MS" w:cs="Comic Sans MS"/>
                <w:sz w:val="18"/>
                <w:szCs w:val="18"/>
              </w:rPr>
            </w:pPr>
            <w:r>
              <w:rPr>
                <w:rFonts w:ascii="Comic Sans MS" w:eastAsia="Comic Sans MS" w:hAnsi="Comic Sans MS" w:cs="Comic Sans MS"/>
                <w:sz w:val="18"/>
                <w:szCs w:val="18"/>
              </w:rPr>
              <w:t>Class Leads</w:t>
            </w:r>
          </w:p>
          <w:p w14:paraId="75B8AAC9"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8"/>
                <w:szCs w:val="18"/>
              </w:rPr>
              <w:t xml:space="preserve">&amp; </w:t>
            </w:r>
            <w:r w:rsidRPr="00B81D5D">
              <w:rPr>
                <w:rFonts w:ascii="Comic Sans MS" w:eastAsia="Comic Sans MS" w:hAnsi="Comic Sans MS" w:cs="Comic Sans MS"/>
                <w:sz w:val="16"/>
                <w:szCs w:val="16"/>
              </w:rPr>
              <w:t xml:space="preserve">subject </w:t>
            </w:r>
          </w:p>
          <w:p w14:paraId="487CC7AC" w14:textId="77777777" w:rsidR="004E143C" w:rsidRDefault="004E143C" w:rsidP="004E143C">
            <w:pPr>
              <w:rPr>
                <w:rFonts w:ascii="Comic Sans MS" w:eastAsia="Comic Sans MS" w:hAnsi="Comic Sans MS" w:cs="Comic Sans MS"/>
                <w:sz w:val="18"/>
                <w:szCs w:val="18"/>
              </w:rPr>
            </w:pPr>
            <w:r w:rsidRPr="00B81D5D">
              <w:rPr>
                <w:rFonts w:ascii="Comic Sans MS" w:eastAsia="Comic Sans MS" w:hAnsi="Comic Sans MS" w:cs="Comic Sans MS"/>
                <w:sz w:val="16"/>
                <w:szCs w:val="16"/>
              </w:rPr>
              <w:t>co-ordinator</w:t>
            </w:r>
            <w:r>
              <w:rPr>
                <w:rFonts w:ascii="Comic Sans MS" w:eastAsia="Comic Sans MS" w:hAnsi="Comic Sans MS" w:cs="Comic Sans MS"/>
                <w:sz w:val="18"/>
                <w:szCs w:val="18"/>
              </w:rPr>
              <w:t xml:space="preserve"> </w:t>
            </w:r>
          </w:p>
        </w:tc>
        <w:tc>
          <w:tcPr>
            <w:tcW w:w="1079" w:type="dxa"/>
          </w:tcPr>
          <w:p w14:paraId="7604E5A0" w14:textId="77777777" w:rsidR="004E143C" w:rsidRDefault="004E143C" w:rsidP="004E143C">
            <w:pPr>
              <w:jc w:val="center"/>
              <w:rPr>
                <w:rFonts w:ascii="Comic Sans MS" w:eastAsia="Comic Sans MS" w:hAnsi="Comic Sans MS" w:cs="Comic Sans MS"/>
                <w:sz w:val="20"/>
                <w:szCs w:val="20"/>
              </w:rPr>
            </w:pPr>
            <w:r>
              <w:rPr>
                <w:rFonts w:ascii="Comic Sans MS" w:eastAsia="Comic Sans MS" w:hAnsi="Comic Sans MS" w:cs="Comic Sans MS"/>
                <w:sz w:val="20"/>
                <w:szCs w:val="20"/>
              </w:rPr>
              <w:t>Sept 23</w:t>
            </w:r>
          </w:p>
          <w:p w14:paraId="34EA2AA7" w14:textId="77777777" w:rsidR="004E143C" w:rsidRDefault="004E143C" w:rsidP="004E143C">
            <w:pPr>
              <w:rPr>
                <w:rFonts w:ascii="Comic Sans MS" w:eastAsia="Comic Sans MS" w:hAnsi="Comic Sans MS" w:cs="Comic Sans MS"/>
                <w:sz w:val="20"/>
                <w:szCs w:val="20"/>
              </w:rPr>
            </w:pPr>
            <w:r>
              <w:rPr>
                <w:rFonts w:ascii="Comic Sans MS" w:eastAsia="Comic Sans MS" w:hAnsi="Comic Sans MS" w:cs="Comic Sans MS"/>
                <w:sz w:val="20"/>
                <w:szCs w:val="20"/>
              </w:rPr>
              <w:t>to July 2024</w:t>
            </w:r>
          </w:p>
        </w:tc>
        <w:tc>
          <w:tcPr>
            <w:tcW w:w="4887" w:type="dxa"/>
          </w:tcPr>
          <w:p w14:paraId="16732881" w14:textId="42B64AC9" w:rsidR="004E143C" w:rsidRDefault="004E143C" w:rsidP="004E143C">
            <w:pPr>
              <w:pStyle w:val="ListParagraph"/>
              <w:numPr>
                <w:ilvl w:val="0"/>
                <w:numId w:val="7"/>
              </w:numPr>
              <w:rPr>
                <w:rFonts w:ascii="Comic Sans MS" w:eastAsia="Comic Sans MS" w:hAnsi="Comic Sans MS" w:cs="Comic Sans MS"/>
                <w:sz w:val="16"/>
                <w:szCs w:val="16"/>
              </w:rPr>
            </w:pPr>
            <w:r w:rsidRPr="004E143C">
              <w:rPr>
                <w:rFonts w:ascii="Comic Sans MS" w:eastAsia="Comic Sans MS" w:hAnsi="Comic Sans MS" w:cs="Comic Sans MS"/>
                <w:sz w:val="16"/>
                <w:szCs w:val="16"/>
              </w:rPr>
              <w:t xml:space="preserve">Staff will feel </w:t>
            </w:r>
            <w:r w:rsidR="0081423C">
              <w:rPr>
                <w:rFonts w:ascii="Comic Sans MS" w:eastAsia="Comic Sans MS" w:hAnsi="Comic Sans MS" w:cs="Comic Sans MS"/>
                <w:sz w:val="16"/>
                <w:szCs w:val="16"/>
              </w:rPr>
              <w:t xml:space="preserve">more </w:t>
            </w:r>
            <w:r w:rsidRPr="004E143C">
              <w:rPr>
                <w:rFonts w:ascii="Comic Sans MS" w:eastAsia="Comic Sans MS" w:hAnsi="Comic Sans MS" w:cs="Comic Sans MS"/>
                <w:sz w:val="16"/>
                <w:szCs w:val="16"/>
              </w:rPr>
              <w:t>confident with</w:t>
            </w:r>
            <w:r w:rsidR="0081423C">
              <w:rPr>
                <w:rFonts w:ascii="Comic Sans MS" w:eastAsia="Comic Sans MS" w:hAnsi="Comic Sans MS" w:cs="Comic Sans MS"/>
                <w:sz w:val="16"/>
                <w:szCs w:val="16"/>
              </w:rPr>
              <w:t xml:space="preserve"> the</w:t>
            </w:r>
            <w:r w:rsidRPr="004E143C">
              <w:rPr>
                <w:rFonts w:ascii="Comic Sans MS" w:eastAsia="Comic Sans MS" w:hAnsi="Comic Sans MS" w:cs="Comic Sans MS"/>
                <w:sz w:val="16"/>
                <w:szCs w:val="16"/>
              </w:rPr>
              <w:t xml:space="preserve"> deliver</w:t>
            </w:r>
            <w:r w:rsidR="0081423C">
              <w:rPr>
                <w:rFonts w:ascii="Comic Sans MS" w:eastAsia="Comic Sans MS" w:hAnsi="Comic Sans MS" w:cs="Comic Sans MS"/>
                <w:sz w:val="16"/>
                <w:szCs w:val="16"/>
              </w:rPr>
              <w:t>y</w:t>
            </w:r>
            <w:r w:rsidRPr="004E143C">
              <w:rPr>
                <w:rFonts w:ascii="Comic Sans MS" w:eastAsia="Comic Sans MS" w:hAnsi="Comic Sans MS" w:cs="Comic Sans MS"/>
                <w:sz w:val="16"/>
                <w:szCs w:val="16"/>
              </w:rPr>
              <w:t xml:space="preserve"> of </w:t>
            </w:r>
            <w:r w:rsidR="00532AA6">
              <w:rPr>
                <w:rFonts w:ascii="Comic Sans MS" w:eastAsia="Comic Sans MS" w:hAnsi="Comic Sans MS" w:cs="Comic Sans MS"/>
                <w:sz w:val="16"/>
                <w:szCs w:val="16"/>
              </w:rPr>
              <w:t xml:space="preserve">sensory learning </w:t>
            </w:r>
            <w:r w:rsidRPr="004E143C">
              <w:rPr>
                <w:rFonts w:ascii="Comic Sans MS" w:eastAsia="Comic Sans MS" w:hAnsi="Comic Sans MS" w:cs="Comic Sans MS"/>
                <w:sz w:val="16"/>
                <w:szCs w:val="16"/>
              </w:rPr>
              <w:t xml:space="preserve">for their </w:t>
            </w:r>
            <w:proofErr w:type="gramStart"/>
            <w:r w:rsidRPr="004E143C">
              <w:rPr>
                <w:rFonts w:ascii="Comic Sans MS" w:eastAsia="Comic Sans MS" w:hAnsi="Comic Sans MS" w:cs="Comic Sans MS"/>
                <w:sz w:val="16"/>
                <w:szCs w:val="16"/>
              </w:rPr>
              <w:t>classes</w:t>
            </w:r>
            <w:proofErr w:type="gramEnd"/>
            <w:r w:rsidRPr="004E143C">
              <w:rPr>
                <w:rFonts w:ascii="Comic Sans MS" w:eastAsia="Comic Sans MS" w:hAnsi="Comic Sans MS" w:cs="Comic Sans MS"/>
                <w:sz w:val="16"/>
                <w:szCs w:val="16"/>
              </w:rPr>
              <w:t xml:space="preserve"> </w:t>
            </w:r>
          </w:p>
          <w:p w14:paraId="5AE59C8D" w14:textId="4D224E35" w:rsidR="004E143C" w:rsidRPr="00D561A1" w:rsidRDefault="00D561A1" w:rsidP="004E143C">
            <w:pPr>
              <w:rPr>
                <w:rFonts w:ascii="Comic Sans MS" w:eastAsia="Comic Sans MS" w:hAnsi="Comic Sans MS" w:cs="Comic Sans MS"/>
                <w:color w:val="00B050"/>
                <w:sz w:val="16"/>
                <w:szCs w:val="16"/>
              </w:rPr>
            </w:pPr>
            <w:r w:rsidRPr="00D561A1">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Team </w:t>
            </w:r>
            <w:proofErr w:type="gramStart"/>
            <w:r>
              <w:rPr>
                <w:rFonts w:ascii="Comic Sans MS" w:eastAsia="Comic Sans MS" w:hAnsi="Comic Sans MS" w:cs="Comic Sans MS"/>
                <w:color w:val="00B050"/>
                <w:sz w:val="16"/>
                <w:szCs w:val="16"/>
              </w:rPr>
              <w:t>teach</w:t>
            </w:r>
            <w:proofErr w:type="gramEnd"/>
            <w:r>
              <w:rPr>
                <w:rFonts w:ascii="Comic Sans MS" w:eastAsia="Comic Sans MS" w:hAnsi="Comic Sans MS" w:cs="Comic Sans MS"/>
                <w:color w:val="00B050"/>
                <w:sz w:val="16"/>
                <w:szCs w:val="16"/>
              </w:rPr>
              <w:t xml:space="preserve"> is in place within the PMLD class which is timetabled twice a week – this is working well and staff are becoming more confident with their practice</w:t>
            </w:r>
          </w:p>
          <w:p w14:paraId="35B3B633" w14:textId="2B99CF6D"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Children will </w:t>
            </w:r>
            <w:r w:rsidR="00532AA6">
              <w:rPr>
                <w:rFonts w:ascii="Comic Sans MS" w:eastAsia="Comic Sans MS" w:hAnsi="Comic Sans MS" w:cs="Comic Sans MS"/>
                <w:sz w:val="16"/>
                <w:szCs w:val="16"/>
              </w:rPr>
              <w:t xml:space="preserve">progress using individualised </w:t>
            </w:r>
            <w:proofErr w:type="gramStart"/>
            <w:r w:rsidR="00532AA6">
              <w:rPr>
                <w:rFonts w:ascii="Comic Sans MS" w:eastAsia="Comic Sans MS" w:hAnsi="Comic Sans MS" w:cs="Comic Sans MS"/>
                <w:sz w:val="16"/>
                <w:szCs w:val="16"/>
              </w:rPr>
              <w:t>AAC</w:t>
            </w:r>
            <w:proofErr w:type="gramEnd"/>
          </w:p>
          <w:p w14:paraId="1BE58202" w14:textId="6AAB4803" w:rsidR="00C931CB" w:rsidRPr="00D561A1" w:rsidRDefault="00D561A1" w:rsidP="004E143C">
            <w:pPr>
              <w:rPr>
                <w:rFonts w:ascii="Comic Sans MS" w:eastAsia="Comic Sans MS" w:hAnsi="Comic Sans MS" w:cs="Comic Sans MS"/>
                <w:color w:val="00B050"/>
                <w:sz w:val="16"/>
                <w:szCs w:val="16"/>
              </w:rPr>
            </w:pPr>
            <w:r w:rsidRPr="00D561A1">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The use of AAC is developing across school – staff are more confident with using the equipment and know who to ask if they are not sure</w:t>
            </w:r>
            <w:r>
              <w:rPr>
                <w:rFonts w:ascii="Comic Sans MS" w:eastAsia="Comic Sans MS" w:hAnsi="Comic Sans MS" w:cs="Comic Sans MS"/>
                <w:sz w:val="16"/>
                <w:szCs w:val="16"/>
              </w:rPr>
              <w:t xml:space="preserve">, </w:t>
            </w:r>
            <w:r w:rsidRPr="00D561A1">
              <w:rPr>
                <w:rFonts w:ascii="Comic Sans MS" w:eastAsia="Comic Sans MS" w:hAnsi="Comic Sans MS" w:cs="Comic Sans MS"/>
                <w:color w:val="00B050"/>
                <w:sz w:val="16"/>
                <w:szCs w:val="16"/>
              </w:rPr>
              <w:t>this is enabling the children to make progress</w:t>
            </w:r>
            <w:r>
              <w:rPr>
                <w:rFonts w:ascii="Comic Sans MS" w:eastAsia="Comic Sans MS" w:hAnsi="Comic Sans MS" w:cs="Comic Sans MS"/>
                <w:color w:val="00B050"/>
                <w:sz w:val="16"/>
                <w:szCs w:val="16"/>
              </w:rPr>
              <w:t>.</w:t>
            </w:r>
          </w:p>
          <w:p w14:paraId="32DDEFDB" w14:textId="5CD70B0A" w:rsidR="00C931CB" w:rsidRDefault="00C931CB" w:rsidP="00C931CB">
            <w:pPr>
              <w:pStyle w:val="ListParagraph"/>
              <w:numPr>
                <w:ilvl w:val="0"/>
                <w:numId w:val="8"/>
              </w:numPr>
              <w:rPr>
                <w:rFonts w:ascii="Comic Sans MS" w:eastAsia="Comic Sans MS" w:hAnsi="Comic Sans MS" w:cs="Comic Sans MS"/>
                <w:sz w:val="16"/>
                <w:szCs w:val="16"/>
              </w:rPr>
            </w:pPr>
            <w:r>
              <w:rPr>
                <w:rFonts w:ascii="Comic Sans MS" w:eastAsia="Comic Sans MS" w:hAnsi="Comic Sans MS" w:cs="Comic Sans MS"/>
                <w:sz w:val="16"/>
                <w:szCs w:val="16"/>
              </w:rPr>
              <w:t xml:space="preserve">Children will develop </w:t>
            </w:r>
            <w:r w:rsidR="00532AA6">
              <w:rPr>
                <w:rFonts w:ascii="Comic Sans MS" w:eastAsia="Comic Sans MS" w:hAnsi="Comic Sans MS" w:cs="Comic Sans MS"/>
                <w:sz w:val="16"/>
                <w:szCs w:val="16"/>
              </w:rPr>
              <w:t>skills which enable them to progress within their Learning Intentions</w:t>
            </w:r>
          </w:p>
          <w:p w14:paraId="0810EB68" w14:textId="7FBFCC2A" w:rsidR="00C931CB" w:rsidRPr="00D561A1" w:rsidRDefault="00D561A1" w:rsidP="00D561A1">
            <w:pPr>
              <w:rPr>
                <w:rFonts w:ascii="Comic Sans MS" w:eastAsia="Comic Sans MS" w:hAnsi="Comic Sans MS" w:cs="Comic Sans MS"/>
                <w:sz w:val="16"/>
                <w:szCs w:val="16"/>
              </w:rPr>
            </w:pPr>
            <w:r w:rsidRPr="00D561A1">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All children are making steps of progress within MAPP learning and staff have had good professional conversations to ensure targets are SMART across the classes using MAPP – this is discussed at moderation. </w:t>
            </w:r>
          </w:p>
          <w:p w14:paraId="678A61A7" w14:textId="77777777"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School will have more resources available to progress </w:t>
            </w:r>
            <w:proofErr w:type="gramStart"/>
            <w:r>
              <w:rPr>
                <w:rFonts w:ascii="Comic Sans MS" w:eastAsia="Comic Sans MS" w:hAnsi="Comic Sans MS" w:cs="Comic Sans MS"/>
                <w:sz w:val="16"/>
                <w:szCs w:val="16"/>
              </w:rPr>
              <w:t>learning</w:t>
            </w:r>
            <w:proofErr w:type="gramEnd"/>
          </w:p>
          <w:p w14:paraId="02FCAC8A" w14:textId="00408C47" w:rsidR="00D561A1" w:rsidRPr="00D561A1" w:rsidRDefault="00D561A1" w:rsidP="00D561A1">
            <w:pPr>
              <w:rPr>
                <w:rFonts w:ascii="Comic Sans MS" w:eastAsia="Comic Sans MS" w:hAnsi="Comic Sans MS" w:cs="Comic Sans MS"/>
                <w:sz w:val="16"/>
                <w:szCs w:val="16"/>
              </w:rPr>
            </w:pPr>
            <w:r w:rsidRPr="00D561A1">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A new sensory experience tent has been purchased to develop sensory processing, the sensory room and Willow class now have new fibre optic lights to enhance learning activities. School continue to work with Liz-Anne from Jigsaw Therapy </w:t>
            </w:r>
            <w:r w:rsidR="004D1E80">
              <w:rPr>
                <w:rFonts w:ascii="Comic Sans MS" w:eastAsia="Comic Sans MS" w:hAnsi="Comic Sans MS" w:cs="Comic Sans MS"/>
                <w:color w:val="00B050"/>
                <w:sz w:val="16"/>
                <w:szCs w:val="16"/>
              </w:rPr>
              <w:t>to ensure OT programmes are kept up to date to promote the best learning styles.</w:t>
            </w:r>
          </w:p>
          <w:p w14:paraId="1AB9165A" w14:textId="77777777" w:rsidR="00D561A1" w:rsidRPr="00D561A1" w:rsidRDefault="00D561A1" w:rsidP="00D561A1">
            <w:pPr>
              <w:rPr>
                <w:rFonts w:ascii="Comic Sans MS" w:eastAsia="Comic Sans MS" w:hAnsi="Comic Sans MS" w:cs="Comic Sans MS"/>
                <w:sz w:val="16"/>
                <w:szCs w:val="16"/>
              </w:rPr>
            </w:pPr>
          </w:p>
        </w:tc>
      </w:tr>
    </w:tbl>
    <w:p w14:paraId="2689F548" w14:textId="0FEAAB37" w:rsidR="00B702BC" w:rsidRDefault="00B81D5D" w:rsidP="004E143C">
      <w:pPr>
        <w:rPr>
          <w:rFonts w:ascii="Comic Sans MS" w:eastAsia="Comic Sans MS" w:hAnsi="Comic Sans MS" w:cs="Comic Sans MS"/>
          <w:sz w:val="16"/>
          <w:szCs w:val="16"/>
          <w:u w:val="single"/>
        </w:rPr>
      </w:pPr>
      <w:r w:rsidRPr="00B81D5D">
        <w:rPr>
          <w:rFonts w:ascii="Comic Sans MS" w:eastAsia="Comic Sans MS" w:hAnsi="Comic Sans MS" w:cs="Comic Sans MS"/>
        </w:rPr>
        <w:t xml:space="preserve">                                                </w:t>
      </w:r>
    </w:p>
    <w:p w14:paraId="4927AF08" w14:textId="77777777" w:rsidR="00B702BC" w:rsidRDefault="00B702BC">
      <w:pPr>
        <w:rPr>
          <w:rFonts w:ascii="Comic Sans MS" w:eastAsia="Comic Sans MS" w:hAnsi="Comic Sans MS" w:cs="Comic Sans MS"/>
        </w:rPr>
      </w:pPr>
    </w:p>
    <w:p w14:paraId="1272969B" w14:textId="77777777" w:rsidR="00B702BC" w:rsidRDefault="00B702BC">
      <w:pPr>
        <w:jc w:val="center"/>
        <w:rPr>
          <w:rFonts w:ascii="Comic Sans MS" w:eastAsia="Comic Sans MS" w:hAnsi="Comic Sans MS" w:cs="Comic Sans MS"/>
        </w:rPr>
      </w:pPr>
    </w:p>
    <w:sectPr w:rsidR="00B702BC">
      <w:headerReference w:type="default" r:id="rId7"/>
      <w:pgSz w:w="16838" w:h="11906" w:orient="landscape"/>
      <w:pgMar w:top="1797" w:right="1440" w:bottom="179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390C" w14:textId="77777777" w:rsidR="004E143C" w:rsidRDefault="004E143C" w:rsidP="004E143C">
      <w:r>
        <w:separator/>
      </w:r>
    </w:p>
  </w:endnote>
  <w:endnote w:type="continuationSeparator" w:id="0">
    <w:p w14:paraId="1876E2EB" w14:textId="77777777" w:rsidR="004E143C" w:rsidRDefault="004E143C" w:rsidP="004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92EA" w14:textId="77777777" w:rsidR="004E143C" w:rsidRDefault="004E143C" w:rsidP="004E143C">
      <w:r>
        <w:separator/>
      </w:r>
    </w:p>
  </w:footnote>
  <w:footnote w:type="continuationSeparator" w:id="0">
    <w:p w14:paraId="303CD4B9" w14:textId="77777777" w:rsidR="004E143C" w:rsidRDefault="004E143C" w:rsidP="004E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3C0" w14:textId="3AFA9FCC" w:rsidR="004E143C" w:rsidRPr="004E143C" w:rsidRDefault="004E143C" w:rsidP="004E143C">
    <w:pPr>
      <w:pStyle w:val="Header"/>
      <w:jc w:val="center"/>
      <w:rPr>
        <w:rFonts w:ascii="Comic Sans MS" w:hAnsi="Comic Sans MS"/>
        <w:b/>
        <w:bCs/>
        <w:u w:val="single"/>
      </w:rPr>
    </w:pPr>
    <w:r w:rsidRPr="004E143C">
      <w:rPr>
        <w:rFonts w:ascii="Comic Sans MS" w:hAnsi="Comic Sans MS"/>
        <w:b/>
        <w:bCs/>
        <w:u w:val="single"/>
      </w:rPr>
      <w:t xml:space="preserve">Action Plan for </w:t>
    </w:r>
    <w:r w:rsidR="00532AA6">
      <w:rPr>
        <w:rFonts w:ascii="Comic Sans MS" w:hAnsi="Comic Sans MS"/>
        <w:b/>
        <w:bCs/>
        <w:u w:val="single"/>
      </w:rPr>
      <w:t>Sensory PMLD Curriculum</w:t>
    </w:r>
    <w:r w:rsidRPr="004E143C">
      <w:rPr>
        <w:rFonts w:ascii="Comic Sans MS" w:hAnsi="Comic Sans MS"/>
        <w:b/>
        <w:bCs/>
        <w:u w:val="single"/>
      </w:rPr>
      <w:t xml:space="preserve"> –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BC6"/>
    <w:multiLevelType w:val="hybridMultilevel"/>
    <w:tmpl w:val="F2B2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83687"/>
    <w:multiLevelType w:val="hybridMultilevel"/>
    <w:tmpl w:val="093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B2259"/>
    <w:multiLevelType w:val="multilevel"/>
    <w:tmpl w:val="B4C2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5E57A8"/>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015461"/>
    <w:multiLevelType w:val="multilevel"/>
    <w:tmpl w:val="CB9A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961D7A"/>
    <w:multiLevelType w:val="hybridMultilevel"/>
    <w:tmpl w:val="2704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25155"/>
    <w:multiLevelType w:val="multilevel"/>
    <w:tmpl w:val="0000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A0BFE"/>
    <w:multiLevelType w:val="multilevel"/>
    <w:tmpl w:val="8326B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C149F2"/>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181BAD"/>
    <w:multiLevelType w:val="multilevel"/>
    <w:tmpl w:val="EB32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967569">
    <w:abstractNumId w:val="7"/>
  </w:num>
  <w:num w:numId="2" w16cid:durableId="1269236967">
    <w:abstractNumId w:val="9"/>
  </w:num>
  <w:num w:numId="3" w16cid:durableId="2005819678">
    <w:abstractNumId w:val="6"/>
  </w:num>
  <w:num w:numId="4" w16cid:durableId="1714650939">
    <w:abstractNumId w:val="4"/>
  </w:num>
  <w:num w:numId="5" w16cid:durableId="1882741233">
    <w:abstractNumId w:val="8"/>
  </w:num>
  <w:num w:numId="6" w16cid:durableId="1763648469">
    <w:abstractNumId w:val="2"/>
  </w:num>
  <w:num w:numId="7" w16cid:durableId="82533853">
    <w:abstractNumId w:val="3"/>
  </w:num>
  <w:num w:numId="8" w16cid:durableId="1807776556">
    <w:abstractNumId w:val="0"/>
  </w:num>
  <w:num w:numId="9" w16cid:durableId="1257133313">
    <w:abstractNumId w:val="5"/>
  </w:num>
  <w:num w:numId="10" w16cid:durableId="181058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BC"/>
    <w:rsid w:val="004D1E80"/>
    <w:rsid w:val="004E143C"/>
    <w:rsid w:val="00532AA6"/>
    <w:rsid w:val="0081423C"/>
    <w:rsid w:val="00817011"/>
    <w:rsid w:val="00B702BC"/>
    <w:rsid w:val="00B81D5D"/>
    <w:rsid w:val="00C931CB"/>
    <w:rsid w:val="00D5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862D"/>
  <w15:docId w15:val="{91D89A93-EA57-4AF6-97FA-817A61F3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1D5D"/>
    <w:pPr>
      <w:ind w:left="720"/>
      <w:contextualSpacing/>
    </w:pPr>
  </w:style>
  <w:style w:type="character" w:styleId="Hyperlink">
    <w:name w:val="Hyperlink"/>
    <w:basedOn w:val="DefaultParagraphFont"/>
    <w:uiPriority w:val="99"/>
    <w:unhideWhenUsed/>
    <w:rsid w:val="00B81D5D"/>
    <w:rPr>
      <w:color w:val="0000FF" w:themeColor="hyperlink"/>
      <w:u w:val="single"/>
    </w:rPr>
  </w:style>
  <w:style w:type="character" w:styleId="UnresolvedMention">
    <w:name w:val="Unresolved Mention"/>
    <w:basedOn w:val="DefaultParagraphFont"/>
    <w:uiPriority w:val="99"/>
    <w:semiHidden/>
    <w:unhideWhenUsed/>
    <w:rsid w:val="00B81D5D"/>
    <w:rPr>
      <w:color w:val="605E5C"/>
      <w:shd w:val="clear" w:color="auto" w:fill="E1DFDD"/>
    </w:rPr>
  </w:style>
  <w:style w:type="paragraph" w:styleId="Header">
    <w:name w:val="header"/>
    <w:basedOn w:val="Normal"/>
    <w:link w:val="HeaderChar"/>
    <w:uiPriority w:val="99"/>
    <w:unhideWhenUsed/>
    <w:rsid w:val="004E143C"/>
    <w:pPr>
      <w:tabs>
        <w:tab w:val="center" w:pos="4513"/>
        <w:tab w:val="right" w:pos="9026"/>
      </w:tabs>
    </w:pPr>
  </w:style>
  <w:style w:type="character" w:customStyle="1" w:styleId="HeaderChar">
    <w:name w:val="Header Char"/>
    <w:basedOn w:val="DefaultParagraphFont"/>
    <w:link w:val="Header"/>
    <w:uiPriority w:val="99"/>
    <w:rsid w:val="004E143C"/>
  </w:style>
  <w:style w:type="paragraph" w:styleId="Footer">
    <w:name w:val="footer"/>
    <w:basedOn w:val="Normal"/>
    <w:link w:val="FooterChar"/>
    <w:uiPriority w:val="99"/>
    <w:unhideWhenUsed/>
    <w:rsid w:val="004E143C"/>
    <w:pPr>
      <w:tabs>
        <w:tab w:val="center" w:pos="4513"/>
        <w:tab w:val="right" w:pos="9026"/>
      </w:tabs>
    </w:pPr>
  </w:style>
  <w:style w:type="character" w:customStyle="1" w:styleId="FooterChar">
    <w:name w:val="Footer Char"/>
    <w:basedOn w:val="DefaultParagraphFont"/>
    <w:link w:val="Footer"/>
    <w:uiPriority w:val="99"/>
    <w:rsid w:val="004E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Williams</dc:creator>
  <cp:lastModifiedBy>Amanda Williams</cp:lastModifiedBy>
  <cp:revision>2</cp:revision>
  <cp:lastPrinted>2023-09-14T09:18:00Z</cp:lastPrinted>
  <dcterms:created xsi:type="dcterms:W3CDTF">2024-02-15T09:36:00Z</dcterms:created>
  <dcterms:modified xsi:type="dcterms:W3CDTF">2024-02-15T09:36:00Z</dcterms:modified>
</cp:coreProperties>
</file>